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
        <w:spacing w:after="0" w:before="480"/>
      </w:pPr>
      <w:r>
        <w:rPr>
          <w:sz w:val="36"/>
          <w:szCs w:val="36"/>
        </w:rPr>
        <w:t>Press Release</w:t>
      </w:r>
    </w:p>
    <w:p>
      <w:pPr>
        <w:pStyle w:val="style0"/>
      </w:pPr>
      <w:r>
        <w:rPr>
          <w:rStyle w:val="style18"/>
        </w:rPr>
        <w:t xml:space="preserve"> </w:t>
      </w:r>
      <w:r>
        <w:rPr>
          <w:rStyle w:val="style18"/>
        </w:rPr>
        <w:t>For immediate release</w:t>
      </w:r>
    </w:p>
    <w:p>
      <w:pPr>
        <w:pStyle w:val="style1"/>
      </w:pPr>
      <w:r>
        <w:rPr>
          <w:sz w:val="32"/>
          <w:szCs w:val="32"/>
        </w:rPr>
        <w:t>Pembrokeshire Friends of the Earth</w:t>
      </w:r>
    </w:p>
    <w:p>
      <w:pPr>
        <w:pStyle w:val="style1"/>
      </w:pPr>
      <w:r>
        <w:rPr/>
        <w:t>Power station or incinerator? Pembrokeshire Friends of the Earth demands clarity over proposals.</w:t>
      </w:r>
    </w:p>
    <w:p>
      <w:pPr>
        <w:pStyle w:val="style0"/>
      </w:pPr>
      <w:r>
        <w:rPr/>
      </w:r>
    </w:p>
    <w:p>
      <w:pPr>
        <w:pStyle w:val="style0"/>
      </w:pPr>
      <w:r>
        <w:rPr/>
      </w:r>
    </w:p>
    <w:p>
      <w:pPr>
        <w:pStyle w:val="style0"/>
      </w:pPr>
      <w:r>
        <w:rPr>
          <w:rFonts w:ascii="Palatino Linotype" w:hAnsi="Palatino Linotype"/>
          <w:sz w:val="22"/>
          <w:szCs w:val="22"/>
        </w:rPr>
        <w:t xml:space="preserve">A planning application for the development of an industrial site at Waterloo Industrial site, Pembroke Dock, which will convert oily sludge and residue from local refineries into electricity for export to the national grid [REF: 13/0818/PA], has been submitted by Baracud Energy Limited, a Cardiff based company. </w:t>
      </w:r>
    </w:p>
    <w:p>
      <w:pPr>
        <w:pStyle w:val="style0"/>
      </w:pPr>
      <w:r>
        <w:rPr>
          <w:rFonts w:ascii="Palatino Linotype" w:hAnsi="Palatino Linotype"/>
          <w:sz w:val="22"/>
          <w:szCs w:val="22"/>
        </w:rPr>
      </w:r>
    </w:p>
    <w:p>
      <w:pPr>
        <w:pStyle w:val="style0"/>
      </w:pPr>
      <w:r>
        <w:rPr>
          <w:rFonts w:ascii="Palatino Linotype" w:hAnsi="Palatino Linotype"/>
          <w:sz w:val="22"/>
          <w:szCs w:val="22"/>
        </w:rPr>
        <w:t xml:space="preserve">Pembrokeshire Friends of the Earth objects to this application on the grounds that the proposed development is so obscurely described, there is a risk that many members of the public will not understand what the applicant intends to build: is it a power station or an incinerator?  At the very least “oil burning power generating plant” should feature in that title. </w:t>
      </w:r>
    </w:p>
    <w:p>
      <w:pPr>
        <w:pStyle w:val="style0"/>
      </w:pPr>
      <w:r>
        <w:rPr>
          <w:rFonts w:ascii="Palatino Linotype" w:hAnsi="Palatino Linotype"/>
          <w:sz w:val="22"/>
          <w:szCs w:val="22"/>
        </w:rPr>
      </w:r>
    </w:p>
    <w:p>
      <w:pPr>
        <w:pStyle w:val="style0"/>
      </w:pPr>
      <w:r>
        <w:rPr>
          <w:rFonts w:ascii="Palatino Linotype" w:hAnsi="Palatino Linotype"/>
          <w:sz w:val="22"/>
          <w:szCs w:val="22"/>
        </w:rPr>
        <w:t>Eleanor Clegg, spokesperson for Pembrokeshire Friends of the Earth said:</w:t>
      </w:r>
    </w:p>
    <w:p>
      <w:pPr>
        <w:pStyle w:val="style0"/>
      </w:pPr>
      <w:r>
        <w:rPr>
          <w:rFonts w:ascii="Palatino Linotype" w:hAnsi="Palatino Linotype"/>
          <w:sz w:val="22"/>
          <w:szCs w:val="22"/>
        </w:rPr>
      </w:r>
    </w:p>
    <w:p>
      <w:pPr>
        <w:pStyle w:val="style0"/>
      </w:pPr>
      <w:r>
        <w:rPr>
          <w:rFonts w:ascii="Palatino Linotype" w:hAnsi="Palatino Linotype"/>
          <w:i/>
          <w:sz w:val="22"/>
          <w:szCs w:val="22"/>
        </w:rPr>
        <w:t>“</w:t>
      </w:r>
      <w:r>
        <w:rPr>
          <w:rFonts w:ascii="Palatino Linotype" w:hAnsi="Palatino Linotype"/>
          <w:i/>
          <w:sz w:val="22"/>
          <w:szCs w:val="22"/>
        </w:rPr>
        <w:t xml:space="preserve">We believe it is essential that this application be re-submitted with the nature of the development much more clearly declared in its title to ensure that our democratic rights are upheld. </w:t>
      </w:r>
    </w:p>
    <w:p>
      <w:pPr>
        <w:pStyle w:val="style0"/>
      </w:pPr>
      <w:r>
        <w:rPr>
          <w:rFonts w:ascii="Palatino Linotype" w:hAnsi="Palatino Linotype"/>
          <w:i/>
          <w:sz w:val="22"/>
          <w:szCs w:val="22"/>
        </w:rPr>
      </w:r>
    </w:p>
    <w:p>
      <w:pPr>
        <w:pStyle w:val="style0"/>
      </w:pPr>
      <w:r>
        <w:rPr>
          <w:rFonts w:ascii="Palatino Linotype" w:hAnsi="Palatino Linotype"/>
          <w:i/>
          <w:sz w:val="22"/>
          <w:szCs w:val="22"/>
        </w:rPr>
        <w:t>We fear that members of the public have not been formally notified by this Planning application  regarding what is actually proposed, thus they will not be alerted to the possibility of aspects of this development to which they could well raise objections – for example</w:t>
      </w:r>
    </w:p>
    <w:p>
      <w:pPr>
        <w:pStyle w:val="style0"/>
        <w:numPr>
          <w:ilvl w:val="0"/>
          <w:numId w:val="2"/>
        </w:numPr>
      </w:pPr>
      <w:r>
        <w:rPr>
          <w:rFonts w:ascii="Palatino Linotype" w:hAnsi="Palatino Linotype"/>
          <w:i/>
          <w:sz w:val="22"/>
          <w:szCs w:val="22"/>
        </w:rPr>
        <w:t>flue stacks and the emissions from them;</w:t>
      </w:r>
    </w:p>
    <w:p>
      <w:pPr>
        <w:pStyle w:val="style0"/>
        <w:numPr>
          <w:ilvl w:val="0"/>
          <w:numId w:val="2"/>
        </w:numPr>
      </w:pPr>
      <w:r>
        <w:rPr>
          <w:rFonts w:ascii="Palatino Linotype" w:hAnsi="Palatino Linotype"/>
          <w:i/>
          <w:sz w:val="22"/>
          <w:szCs w:val="22"/>
        </w:rPr>
        <w:t>heat rejection cooling towers;</w:t>
      </w:r>
    </w:p>
    <w:p>
      <w:pPr>
        <w:pStyle w:val="style0"/>
        <w:numPr>
          <w:ilvl w:val="0"/>
          <w:numId w:val="2"/>
        </w:numPr>
      </w:pPr>
      <w:r>
        <w:rPr>
          <w:rFonts w:ascii="Palatino Linotype" w:hAnsi="Palatino Linotype"/>
          <w:i/>
          <w:sz w:val="22"/>
          <w:szCs w:val="22"/>
        </w:rPr>
        <w:t>noise;</w:t>
      </w:r>
    </w:p>
    <w:p>
      <w:pPr>
        <w:pStyle w:val="style0"/>
        <w:numPr>
          <w:ilvl w:val="0"/>
          <w:numId w:val="2"/>
        </w:numPr>
      </w:pPr>
      <w:r>
        <w:rPr>
          <w:rFonts w:ascii="Palatino Linotype" w:hAnsi="Palatino Linotype"/>
          <w:i/>
          <w:sz w:val="22"/>
          <w:szCs w:val="22"/>
        </w:rPr>
        <w:t>vehicle movements, especially those associated with bringing fuel to site;</w:t>
      </w:r>
    </w:p>
    <w:p>
      <w:pPr>
        <w:pStyle w:val="style0"/>
        <w:numPr>
          <w:ilvl w:val="0"/>
          <w:numId w:val="2"/>
        </w:numPr>
      </w:pPr>
      <w:r>
        <w:rPr>
          <w:rFonts w:ascii="Palatino Linotype" w:hAnsi="Palatino Linotype"/>
          <w:i/>
          <w:sz w:val="22"/>
          <w:szCs w:val="22"/>
        </w:rPr>
        <w:t>risks associated with the bulk storage of fuel. “</w:t>
      </w:r>
    </w:p>
    <w:p>
      <w:pPr>
        <w:pStyle w:val="style0"/>
      </w:pPr>
      <w:r>
        <w:rPr>
          <w:rFonts w:ascii="Palatino Linotype" w:hAnsi="Palatino Linotype"/>
          <w:sz w:val="22"/>
          <w:szCs w:val="22"/>
        </w:rPr>
      </w:r>
    </w:p>
    <w:p>
      <w:pPr>
        <w:pStyle w:val="style0"/>
      </w:pPr>
      <w:r>
        <w:rPr>
          <w:rFonts w:ascii="Palatino Linotype" w:hAnsi="Palatino Linotype"/>
          <w:sz w:val="22"/>
          <w:szCs w:val="22"/>
        </w:rPr>
      </w:r>
    </w:p>
    <w:p>
      <w:pPr>
        <w:pStyle w:val="style0"/>
      </w:pPr>
      <w:r>
        <w:rPr>
          <w:sz w:val="22"/>
          <w:szCs w:val="22"/>
        </w:rPr>
        <w:t>ENDS</w:t>
      </w:r>
    </w:p>
    <w:p>
      <w:pPr>
        <w:pStyle w:val="style0"/>
      </w:pPr>
      <w:r>
        <w:rPr>
          <w:sz w:val="22"/>
          <w:szCs w:val="22"/>
        </w:rPr>
      </w:r>
    </w:p>
    <w:p>
      <w:pPr>
        <w:pStyle w:val="style0"/>
      </w:pPr>
      <w:r>
        <w:rPr/>
        <w:t>For further information contact Eleanor Clegg, Coordinator Pembrokeshire Friends of the Earth, on 01437 532575</w:t>
      </w:r>
    </w:p>
    <w:sectPr>
      <w:type w:val="nextPage"/>
      <w:pgSz w:h="16838" w:w="11906"/>
      <w:pgMar w:bottom="1440" w:footer="0" w:gutter="0" w:header="0" w:left="1440" w:right="1440" w:top="1440"/>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 w:name="Palatino Linotype">
    <w:charset w:val="80"/>
    <w:family w:val="roman"/>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7"/>
      <w:numFmt w:val="bullet"/>
      <w:lvlText w:val="-"/>
      <w:lvlJc w:val="left"/>
      <w:pPr>
        <w:tabs>
          <w:tab w:pos="720" w:val="num"/>
        </w:tabs>
        <w:ind w:hanging="360" w:left="720"/>
      </w:pPr>
      <w:rPr>
        <w:rFonts w:ascii="Palatino Linotype" w:cs="Palatino Linotype" w:hAnsi="Palatino Linotype" w:hint="default"/>
      </w:rPr>
    </w:lvl>
    <w:lvl w:ilvl="1">
      <w:start w:val="1"/>
      <w:numFmt w:val="decimal"/>
      <w:lvlText w:val="%2."/>
      <w:lvlJc w:val="left"/>
      <w:pPr>
        <w:tabs>
          <w:tab w:pos="1440" w:val="num"/>
        </w:tabs>
        <w:ind w:hanging="360" w:left="1440"/>
      </w:pPr>
    </w:lvl>
    <w:lvl w:ilvl="2">
      <w:start w:val="1"/>
      <w:numFmt w:val="decimal"/>
      <w:lvlText w:val="%3."/>
      <w:lvlJc w:val="left"/>
      <w:pPr>
        <w:tabs>
          <w:tab w:pos="2160" w:val="num"/>
        </w:tabs>
        <w:ind w:hanging="360" w:left="2160"/>
      </w:pPr>
    </w:lvl>
    <w:lvl w:ilvl="3">
      <w:start w:val="1"/>
      <w:numFmt w:val="decimal"/>
      <w:lvlText w:val="%4."/>
      <w:lvlJc w:val="left"/>
      <w:pPr>
        <w:tabs>
          <w:tab w:pos="2880" w:val="num"/>
        </w:tabs>
        <w:ind w:hanging="360" w:left="2880"/>
      </w:pPr>
    </w:lvl>
    <w:lvl w:ilvl="4">
      <w:start w:val="1"/>
      <w:numFmt w:val="decimal"/>
      <w:lvlText w:val="%5."/>
      <w:lvlJc w:val="left"/>
      <w:pPr>
        <w:tabs>
          <w:tab w:pos="3600" w:val="num"/>
        </w:tabs>
        <w:ind w:hanging="360" w:left="3600"/>
      </w:pPr>
    </w:lvl>
    <w:lvl w:ilvl="5">
      <w:start w:val="1"/>
      <w:numFmt w:val="decimal"/>
      <w:lvlText w:val="%6."/>
      <w:lvlJc w:val="left"/>
      <w:pPr>
        <w:tabs>
          <w:tab w:pos="4320" w:val="num"/>
        </w:tabs>
        <w:ind w:hanging="360" w:left="4320"/>
      </w:pPr>
    </w:lvl>
    <w:lvl w:ilvl="6">
      <w:start w:val="1"/>
      <w:numFmt w:val="decimal"/>
      <w:lvlText w:val="%7."/>
      <w:lvlJc w:val="left"/>
      <w:pPr>
        <w:tabs>
          <w:tab w:pos="5040" w:val="num"/>
        </w:tabs>
        <w:ind w:hanging="360" w:left="5040"/>
      </w:pPr>
    </w:lvl>
    <w:lvl w:ilvl="7">
      <w:start w:val="1"/>
      <w:numFmt w:val="decimal"/>
      <w:lvlText w:val="%8."/>
      <w:lvlJc w:val="left"/>
      <w:pPr>
        <w:tabs>
          <w:tab w:pos="5760" w:val="num"/>
        </w:tabs>
        <w:ind w:hanging="360" w:left="5760"/>
      </w:pPr>
    </w:lvl>
    <w:lvl w:ilvl="8">
      <w:start w:val="1"/>
      <w:numFmt w:val="decimal"/>
      <w:lvlText w:val="%9."/>
      <w:lvlJc w:val="left"/>
      <w:pPr>
        <w:tabs>
          <w:tab w:pos="6480" w:val="num"/>
        </w:tabs>
        <w:ind w:hanging="360" w:left="6480"/>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0" w:before="0" w:line="100" w:lineRule="atLeast"/>
    </w:pPr>
    <w:rPr>
      <w:rFonts w:ascii="Times New Roman" w:cs="Times New Roman" w:eastAsia="Times New Roman" w:hAnsi="Times New Roman"/>
      <w:color w:val="auto"/>
      <w:sz w:val="24"/>
      <w:szCs w:val="24"/>
      <w:lang w:bidi="ar-SA" w:eastAsia="en-GB" w:val="en-GB"/>
    </w:rPr>
  </w:style>
  <w:style w:styleId="style1" w:type="paragraph">
    <w:name w:val="Heading 1"/>
    <w:basedOn w:val="style0"/>
    <w:next w:val="style21"/>
    <w:pPr>
      <w:keepNext/>
      <w:keepLines/>
      <w:spacing w:after="0" w:before="480"/>
    </w:pPr>
    <w:rPr>
      <w:rFonts w:ascii="Cambria" w:cs="" w:hAnsi="Cambria"/>
      <w:b/>
      <w:bCs/>
      <w:color w:val="365F91"/>
      <w:sz w:val="28"/>
      <w:szCs w:val="28"/>
    </w:rPr>
  </w:style>
  <w:style w:styleId="style2" w:type="paragraph">
    <w:name w:val="Heading 2"/>
    <w:basedOn w:val="style0"/>
    <w:next w:val="style21"/>
    <w:pPr>
      <w:keepNext/>
      <w:keepLines/>
      <w:numPr>
        <w:ilvl w:val="1"/>
        <w:numId w:val="1"/>
      </w:numPr>
      <w:spacing w:after="0" w:before="200"/>
      <w:outlineLvl w:val="1"/>
    </w:pPr>
    <w:rPr>
      <w:rFonts w:ascii="Cambria" w:cs="" w:hAnsi="Cambria"/>
      <w:b/>
      <w:bCs/>
      <w:color w:val="4F81BD"/>
      <w:sz w:val="26"/>
      <w:szCs w:val="26"/>
    </w:rPr>
  </w:style>
  <w:style w:styleId="style15" w:type="character">
    <w:name w:val="Default Paragraph Font"/>
    <w:next w:val="style15"/>
    <w:rPr/>
  </w:style>
  <w:style w:styleId="style16" w:type="character">
    <w:name w:val="Heading 1 Char"/>
    <w:basedOn w:val="style15"/>
    <w:next w:val="style16"/>
    <w:rPr>
      <w:rFonts w:ascii="Cambria" w:cs="" w:hAnsi="Cambria"/>
      <w:b/>
      <w:bCs/>
      <w:color w:val="365F91"/>
      <w:sz w:val="28"/>
      <w:szCs w:val="28"/>
      <w:lang w:eastAsia="en-GB"/>
    </w:rPr>
  </w:style>
  <w:style w:styleId="style17" w:type="character">
    <w:name w:val="Balloon Text Char"/>
    <w:basedOn w:val="style15"/>
    <w:next w:val="style17"/>
    <w:rPr>
      <w:rFonts w:ascii="Tahoma" w:cs="Tahoma" w:eastAsia="Times New Roman" w:hAnsi="Tahoma"/>
      <w:sz w:val="16"/>
      <w:szCs w:val="16"/>
      <w:lang w:eastAsia="en-GB"/>
    </w:rPr>
  </w:style>
  <w:style w:styleId="style18" w:type="character">
    <w:name w:val="Heading 2 Char"/>
    <w:basedOn w:val="style15"/>
    <w:next w:val="style18"/>
    <w:rPr>
      <w:rFonts w:ascii="Cambria" w:cs="" w:hAnsi="Cambria"/>
      <w:b/>
      <w:bCs/>
      <w:color w:val="4F81BD"/>
      <w:sz w:val="26"/>
      <w:szCs w:val="26"/>
      <w:lang w:eastAsia="en-GB"/>
    </w:rPr>
  </w:style>
  <w:style w:styleId="style19" w:type="character">
    <w:name w:val="ListLabel 1"/>
    <w:next w:val="style19"/>
    <w:rPr>
      <w:rFonts w:cs="Times New Roman" w:eastAsia="Times New Roman"/>
    </w:rPr>
  </w:style>
  <w:style w:styleId="style20" w:type="paragraph">
    <w:name w:val="Heading"/>
    <w:basedOn w:val="style0"/>
    <w:next w:val="style21"/>
    <w:pPr>
      <w:keepNext/>
      <w:spacing w:after="120" w:before="240"/>
    </w:pPr>
    <w:rPr>
      <w:rFonts w:ascii="Arial" w:cs="Lohit Hindi" w:eastAsia="WenQuanYi Micro Hei" w:hAnsi="Arial"/>
      <w:sz w:val="28"/>
      <w:szCs w:val="28"/>
    </w:rPr>
  </w:style>
  <w:style w:styleId="style21" w:type="paragraph">
    <w:name w:val="Text body"/>
    <w:basedOn w:val="style0"/>
    <w:next w:val="style21"/>
    <w:pPr>
      <w:spacing w:after="120" w:before="0"/>
    </w:pPr>
    <w:rPr/>
  </w:style>
  <w:style w:styleId="style22" w:type="paragraph">
    <w:name w:val="List"/>
    <w:basedOn w:val="style21"/>
    <w:next w:val="style22"/>
    <w:pPr/>
    <w:rPr>
      <w:rFonts w:cs="Lohit Hindi"/>
    </w:rPr>
  </w:style>
  <w:style w:styleId="style23" w:type="paragraph">
    <w:name w:val="Caption"/>
    <w:basedOn w:val="style0"/>
    <w:next w:val="style23"/>
    <w:pPr>
      <w:suppressLineNumbers/>
      <w:spacing w:after="120" w:before="120"/>
    </w:pPr>
    <w:rPr>
      <w:rFonts w:cs="Lohit Hindi"/>
      <w:i/>
      <w:iCs/>
      <w:sz w:val="24"/>
      <w:szCs w:val="24"/>
    </w:rPr>
  </w:style>
  <w:style w:styleId="style24" w:type="paragraph">
    <w:name w:val="Index"/>
    <w:basedOn w:val="style0"/>
    <w:next w:val="style24"/>
    <w:pPr>
      <w:suppressLineNumbers/>
    </w:pPr>
    <w:rPr>
      <w:rFonts w:cs="Lohit Hindi"/>
    </w:rPr>
  </w:style>
  <w:style w:styleId="style25" w:type="paragraph">
    <w:name w:val="Balloon Text"/>
    <w:basedOn w:val="style0"/>
    <w:next w:val="style25"/>
    <w:pPr/>
    <w:rPr>
      <w:rFonts w:ascii="Tahoma" w:cs="Tahoma" w:hAnsi="Tahoma"/>
      <w:sz w:val="16"/>
      <w:szCs w:val="16"/>
    </w:rPr>
  </w:style>
  <w:style w:styleId="style26" w:type="paragraph">
    <w:name w:val="No Spacing"/>
    <w:next w:val="style26"/>
    <w:pPr>
      <w:widowControl/>
      <w:tabs>
        <w:tab w:leader="none" w:pos="720" w:val="left"/>
      </w:tabs>
      <w:suppressAutoHyphens w:val="true"/>
      <w:spacing w:after="0" w:before="0" w:line="100" w:lineRule="atLeast"/>
    </w:pPr>
    <w:rPr>
      <w:rFonts w:ascii="Times New Roman" w:cs="Times New Roman" w:eastAsia="Times New Roman" w:hAnsi="Times New Roman"/>
      <w:color w:val="auto"/>
      <w:sz w:val="24"/>
      <w:szCs w:val="24"/>
      <w:lang w:bidi="ar-SA" w:eastAsia="en-GB"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4</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2014-02-14T15:36:00.00Z</dcterms:created>
  <dc:creator>E</dc:creator>
  <cp:lastModifiedBy>E</cp:lastModifiedBy>
  <dcterms:modified xsi:type="dcterms:W3CDTF">2014-02-15T20:53:00.00Z</dcterms:modified>
  <cp:revision>4</cp:revision>
</cp:coreProperties>
</file>